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kinsoku/>
        <w:overflowPunct/>
        <w:topLinePunct w:val="0"/>
        <w:autoSpaceDE/>
        <w:autoSpaceDN/>
        <w:bidi w:val="0"/>
        <w:adjustRightInd/>
        <w:snapToGrid/>
        <w:spacing w:line="600" w:lineRule="exact"/>
        <w:ind w:firstLine="242" w:firstLineChars="55"/>
        <w:jc w:val="center"/>
        <w:textAlignment w:val="auto"/>
        <w:rPr>
          <w:rFonts w:ascii="方正小标宋简体" w:hAnsi="楷体" w:eastAsia="方正小标宋简体"/>
          <w:bCs/>
          <w:sz w:val="44"/>
          <w:szCs w:val="44"/>
        </w:rPr>
      </w:pPr>
      <w:r>
        <w:rPr>
          <w:rFonts w:hint="eastAsia" w:ascii="方正小标宋简体" w:hAnsi="楷体" w:eastAsia="方正小标宋简体"/>
          <w:bCs/>
          <w:sz w:val="44"/>
          <w:szCs w:val="44"/>
        </w:rPr>
        <w:t>关于经全国工程教育专业认证的安全工程</w:t>
      </w:r>
    </w:p>
    <w:p>
      <w:pPr>
        <w:keepNext w:val="0"/>
        <w:keepLines w:val="0"/>
        <w:pageBreakBefore w:val="0"/>
        <w:widowControl/>
        <w:kinsoku/>
        <w:overflowPunct/>
        <w:topLinePunct w:val="0"/>
        <w:autoSpaceDE/>
        <w:autoSpaceDN/>
        <w:bidi w:val="0"/>
        <w:adjustRightInd/>
        <w:snapToGrid/>
        <w:spacing w:line="600" w:lineRule="exact"/>
        <w:ind w:firstLine="242" w:firstLineChars="55"/>
        <w:jc w:val="center"/>
        <w:textAlignment w:val="auto"/>
        <w:rPr>
          <w:rFonts w:ascii="方正小标宋简体" w:hAnsi="楷体" w:eastAsia="方正小标宋简体"/>
          <w:bCs/>
          <w:sz w:val="36"/>
          <w:szCs w:val="36"/>
        </w:rPr>
      </w:pPr>
      <w:r>
        <w:rPr>
          <w:rFonts w:hint="eastAsia" w:ascii="方正小标宋简体" w:hAnsi="楷体" w:eastAsia="方正小标宋简体"/>
          <w:bCs/>
          <w:sz w:val="44"/>
          <w:szCs w:val="44"/>
        </w:rPr>
        <w:t>专业查验方法的有关说明</w:t>
      </w: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 w:hAnsi="仿宋" w:eastAsia="仿宋" w:cs="宋体"/>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T/CEEAA 001）适用范围，</w:t>
      </w:r>
      <w:r>
        <w:rPr>
          <w:rFonts w:hint="eastAsia" w:ascii="仿宋_GB2312" w:hAnsi="仿宋_GB2312" w:eastAsia="仿宋_GB2312" w:cs="仿宋_GB2312"/>
          <w:b/>
          <w:sz w:val="32"/>
          <w:szCs w:val="32"/>
        </w:rPr>
        <w:t>报名免一科的人员必须是普通高等学校全日制普通四年制本科安全工程专业毕业。</w:t>
      </w: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安全工程专业的工程教育专业认证查验方法如下：</w:t>
      </w:r>
      <w:bookmarkStart w:id="0" w:name="_GoBack"/>
      <w:bookmarkEnd w:id="0"/>
    </w:p>
    <w:p>
      <w:pPr>
        <w:keepNext w:val="0"/>
        <w:keepLines w:val="0"/>
        <w:pageBreakBefore w:val="0"/>
        <w:widowControl/>
        <w:kinsoku/>
        <w:wordWrap w:val="0"/>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（一）查验时，以中国工程教育专业认证协会认证查询结果为准，网址：</w:t>
      </w:r>
      <w:r>
        <w:rPr>
          <w:rFonts w:hint="eastAsia" w:ascii="仿宋_GB2312" w:hAnsi="仿宋_GB2312" w:eastAsia="仿宋_GB2312" w:cs="仿宋_GB2312"/>
          <w:sz w:val="32"/>
          <w:szCs w:val="32"/>
        </w:rPr>
        <w:t>http://www.ceeaa.org.cn/gcjyzyrzxh/gcjyzyrzjlcx/index.html</w:t>
      </w: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（二）报名人员本科毕业时的学校名称和专业名称须与认证查询结果保持完全一致，且毕业时间须在相应的认证有效期开始时间和截止时间内。</w:t>
      </w: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（三）认证查询结果中，有效期截止时间标注“有条件”的，其有效期截止时间可按当前年度有效进行界定。</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2041" w:right="136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BD"/>
    <w:rsid w:val="000A458A"/>
    <w:rsid w:val="005A593C"/>
    <w:rsid w:val="007D50BD"/>
    <w:rsid w:val="7B25B972"/>
    <w:rsid w:val="F7EDC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391</Characters>
  <Lines>3</Lines>
  <Paragraphs>1</Paragraphs>
  <TotalTime>2</TotalTime>
  <ScaleCrop>false</ScaleCrop>
  <LinksUpToDate>false</LinksUpToDate>
  <CharactersWithSpaces>458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2024-06-11T14:55:00Z</dcterms:created>
  <dc:creator>wzj</dc:creator>
  <cp:lastModifiedBy>user</cp:lastModifiedBy>
  <dcterms:modified xsi:type="dcterms:W3CDTF">2024-06-11T15:22:02Z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