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hd w:val="clear" w:color="auto"/>
        <w:tabs>
          <w:tab w:val="center" w:pos="4478"/>
        </w:tabs>
        <w:spacing w:line="600" w:lineRule="exact"/>
        <w:rPr>
          <w:rFonts w:hint="eastAsia" w:ascii="仿宋_GB2312" w:hAnsi="仿宋_GB2312" w:eastAsia="仿宋_GB2312" w:cs="仿宋_GB2312"/>
          <w:kern w:val="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shd w:val="clear" w:color="auto" w:fill="FFFFFF"/>
          <w:lang w:eastAsia="zh-CN"/>
        </w:rPr>
        <w:t>附件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shd w:val="clear" w:color="auto" w:fill="FFFFFF"/>
          <w:lang w:val="en-US" w:eastAsia="zh-CN"/>
        </w:rPr>
        <w:t>2</w:t>
      </w:r>
      <w:bookmarkStart w:id="0" w:name="_GoBack"/>
      <w:bookmarkEnd w:id="0"/>
    </w:p>
    <w:p>
      <w:pPr>
        <w:widowControl/>
        <w:shd w:val="clear" w:color="auto"/>
        <w:tabs>
          <w:tab w:val="center" w:pos="4478"/>
        </w:tabs>
        <w:spacing w:line="600" w:lineRule="exact"/>
        <w:rPr>
          <w:rFonts w:ascii="方正小标宋简体" w:hAnsi="仿宋_GB2312" w:eastAsia="方正小标宋简体" w:cs="仿宋_GB2312"/>
          <w:kern w:val="0"/>
          <w:sz w:val="44"/>
          <w:szCs w:val="44"/>
          <w:shd w:val="clear" w:color="auto" w:fill="FFFFFF"/>
        </w:rPr>
      </w:pPr>
    </w:p>
    <w:p>
      <w:pPr>
        <w:widowControl/>
        <w:shd w:val="clear" w:color="auto"/>
        <w:tabs>
          <w:tab w:val="center" w:pos="4478"/>
        </w:tabs>
        <w:spacing w:line="600" w:lineRule="exact"/>
        <w:rPr>
          <w:rFonts w:ascii="方正小标宋简体" w:hAnsi="仿宋_GB2312" w:eastAsia="方正小标宋简体" w:cs="仿宋_GB2312"/>
          <w:sz w:val="44"/>
          <w:szCs w:val="44"/>
        </w:rPr>
      </w:pPr>
      <w:r>
        <w:rPr>
          <w:rFonts w:ascii="方正小标宋简体" w:hAnsi="仿宋_GB2312" w:eastAsia="方正小标宋简体" w:cs="仿宋_GB2312"/>
          <w:kern w:val="0"/>
          <w:sz w:val="44"/>
          <w:szCs w:val="44"/>
          <w:shd w:val="clear" w:color="auto" w:fill="FFFFFF"/>
        </w:rPr>
        <w:tab/>
      </w:r>
      <w:r>
        <w:rPr>
          <w:rFonts w:hint="eastAsia" w:ascii="方正小标宋简体" w:hAnsi="仿宋_GB2312" w:eastAsia="方正小标宋简体" w:cs="仿宋_GB2312"/>
          <w:kern w:val="0"/>
          <w:sz w:val="44"/>
          <w:szCs w:val="44"/>
          <w:shd w:val="clear" w:color="auto" w:fill="FFFFFF"/>
        </w:rPr>
        <w:t>资格考试报名常见问题解答</w:t>
      </w:r>
    </w:p>
    <w:p>
      <w:pPr>
        <w:pStyle w:val="5"/>
        <w:widowControl/>
        <w:spacing w:beforeAutospacing="0" w:afterAutospacing="0" w:line="600" w:lineRule="exact"/>
        <w:rPr>
          <w:rStyle w:val="8"/>
          <w:rFonts w:ascii="仿宋_GB2312" w:hAnsi="仿宋_GB2312" w:eastAsia="仿宋_GB2312" w:cs="仿宋_GB2312"/>
          <w:b w:val="0"/>
          <w:bCs/>
          <w:color w:val="333333"/>
          <w:sz w:val="32"/>
          <w:szCs w:val="32"/>
          <w:shd w:val="clear" w:color="auto" w:fill="FFFFFF"/>
        </w:rPr>
      </w:pPr>
    </w:p>
    <w:p>
      <w:pPr>
        <w:pStyle w:val="5"/>
        <w:widowControl/>
        <w:spacing w:beforeAutospacing="0" w:afterAutospacing="0" w:line="600" w:lineRule="exact"/>
        <w:ind w:firstLine="640" w:firstLineChars="200"/>
        <w:rPr>
          <w:rFonts w:hint="eastAsia" w:ascii="楷体_GB2312" w:hAnsi="楷体_GB2312" w:eastAsia="楷体_GB2312" w:cs="楷体_GB2312"/>
          <w:sz w:val="32"/>
          <w:szCs w:val="32"/>
          <w:lang w:eastAsia="zh-CN"/>
        </w:rPr>
      </w:pPr>
      <w:r>
        <w:rPr>
          <w:rFonts w:hint="eastAsia" w:ascii="楷体_GB2312" w:hAnsi="楷体_GB2312" w:eastAsia="楷体_GB2312" w:cs="楷体_GB2312"/>
          <w:sz w:val="32"/>
          <w:szCs w:val="32"/>
        </w:rPr>
        <w:t>1.考生注册时，提示证件号码已存在</w:t>
      </w:r>
    </w:p>
    <w:p>
      <w:pPr>
        <w:pStyle w:val="5"/>
        <w:widowControl/>
        <w:spacing w:beforeAutospacing="0" w:afterAutospacing="0" w:line="60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若提示证件号码已注册，请确认是否已注册，可通过“找回用户名或密码”功能进行查询，若没有注册信息可以继续注册。若查询到注册信息，忘记密码问题或手机号码已更换，需要找回密码的，请查看问题4。</w:t>
      </w:r>
    </w:p>
    <w:p>
      <w:pPr>
        <w:pStyle w:val="5"/>
        <w:widowControl/>
        <w:spacing w:beforeAutospacing="0" w:afterAutospacing="0" w:line="600" w:lineRule="exact"/>
        <w:ind w:firstLine="640" w:firstLineChars="200"/>
        <w:rPr>
          <w:rFonts w:hint="eastAsia" w:ascii="楷体_GB2312" w:hAnsi="楷体_GB2312" w:eastAsia="楷体_GB2312" w:cs="楷体_GB2312"/>
          <w:sz w:val="32"/>
          <w:szCs w:val="32"/>
          <w:lang w:eastAsia="zh-CN"/>
        </w:rPr>
      </w:pPr>
      <w:r>
        <w:rPr>
          <w:rFonts w:hint="eastAsia" w:ascii="楷体_GB2312" w:hAnsi="楷体_GB2312" w:eastAsia="楷体_GB2312" w:cs="楷体_GB2312"/>
          <w:sz w:val="32"/>
          <w:szCs w:val="32"/>
        </w:rPr>
        <w:t>2.考生注册时，提示手机号已注册</w:t>
      </w:r>
    </w:p>
    <w:p>
      <w:pPr>
        <w:pStyle w:val="5"/>
        <w:widowControl/>
        <w:spacing w:beforeAutospacing="0" w:afterAutospacing="0" w:line="60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若提示手机号码已注册，更换其他手机号码进行注册。</w:t>
      </w:r>
    </w:p>
    <w:p>
      <w:pPr>
        <w:pStyle w:val="5"/>
        <w:widowControl/>
        <w:spacing w:beforeAutospacing="0" w:afterAutospacing="0" w:line="600" w:lineRule="exact"/>
        <w:ind w:firstLine="640" w:firstLineChars="200"/>
        <w:rPr>
          <w:rFonts w:hint="eastAsia" w:ascii="楷体_GB2312" w:hAnsi="楷体_GB2312" w:eastAsia="楷体_GB2312" w:cs="楷体_GB2312"/>
          <w:sz w:val="32"/>
          <w:szCs w:val="32"/>
          <w:lang w:eastAsia="zh-CN"/>
        </w:rPr>
      </w:pPr>
      <w:r>
        <w:rPr>
          <w:rFonts w:hint="eastAsia" w:ascii="楷体_GB2312" w:hAnsi="楷体_GB2312" w:eastAsia="楷体_GB2312" w:cs="楷体_GB2312"/>
          <w:sz w:val="32"/>
          <w:szCs w:val="32"/>
        </w:rPr>
        <w:t>3.考生注册时，手机收不到验证码</w:t>
      </w:r>
    </w:p>
    <w:p>
      <w:pPr>
        <w:pStyle w:val="5"/>
        <w:widowControl/>
        <w:spacing w:beforeAutospacing="0" w:afterAutospacing="0" w:line="60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（1）手机号码状态异常，如已停机或携号转网状态异常。</w:t>
      </w:r>
    </w:p>
    <w:p>
      <w:pPr>
        <w:pStyle w:val="5"/>
        <w:widowControl/>
        <w:spacing w:beforeAutospacing="0" w:afterAutospacing="0" w:line="60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（2）手机运营商短时服务异常。</w:t>
      </w:r>
    </w:p>
    <w:p>
      <w:pPr>
        <w:pStyle w:val="5"/>
        <w:widowControl/>
        <w:spacing w:beforeAutospacing="0" w:afterAutospacing="0" w:line="60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（3）手机安装了垃圾信息拦截软件。</w:t>
      </w:r>
    </w:p>
    <w:p>
      <w:pPr>
        <w:pStyle w:val="5"/>
        <w:widowControl/>
        <w:spacing w:beforeAutospacing="0" w:afterAutospacing="0" w:line="60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（4）手机短信存储容量已满。</w:t>
      </w:r>
    </w:p>
    <w:p>
      <w:pPr>
        <w:pStyle w:val="5"/>
        <w:widowControl/>
        <w:spacing w:beforeAutospacing="0" w:afterAutospacing="0" w:line="600" w:lineRule="exact"/>
        <w:ind w:firstLine="640" w:firstLineChars="200"/>
        <w:rPr>
          <w:rFonts w:hint="eastAsia" w:ascii="仿宋_GB2312" w:hAnsi="仿宋_GB2312" w:eastAsia="楷体_GB2312" w:cs="仿宋_GB2312"/>
          <w:sz w:val="32"/>
          <w:szCs w:val="32"/>
          <w:lang w:eastAsia="zh-CN"/>
        </w:rPr>
      </w:pPr>
      <w:r>
        <w:rPr>
          <w:rFonts w:hint="eastAsia" w:ascii="楷体_GB2312" w:hAnsi="楷体_GB2312" w:eastAsia="楷体_GB2312" w:cs="楷体_GB2312"/>
          <w:sz w:val="32"/>
          <w:szCs w:val="32"/>
        </w:rPr>
        <w:t>4.忘记用户名及密码该如何处理</w:t>
      </w:r>
    </w:p>
    <w:p>
      <w:pPr>
        <w:pStyle w:val="5"/>
        <w:widowControl/>
        <w:spacing w:beforeAutospacing="0" w:afterAutospacing="0" w:line="60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系统提供两种找回方式：验证预留安全问题和验证手机。</w:t>
      </w:r>
    </w:p>
    <w:p>
      <w:pPr>
        <w:pStyle w:val="5"/>
        <w:widowControl/>
        <w:spacing w:beforeAutospacing="0" w:afterAutospacing="0" w:line="60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如果上述两种方式无法找回，请到沈阳市考试院要求查询用户密保问题或重置密码。</w:t>
      </w:r>
    </w:p>
    <w:p>
      <w:pPr>
        <w:pStyle w:val="5"/>
        <w:widowControl/>
        <w:spacing w:beforeAutospacing="0" w:afterAutospacing="0" w:line="600" w:lineRule="exact"/>
        <w:ind w:firstLine="640" w:firstLineChars="200"/>
        <w:rPr>
          <w:rFonts w:hint="eastAsia" w:ascii="楷体_GB2312" w:hAnsi="楷体_GB2312" w:eastAsia="楷体_GB2312" w:cs="楷体_GB2312"/>
          <w:sz w:val="32"/>
          <w:szCs w:val="32"/>
          <w:lang w:eastAsia="zh-CN"/>
        </w:rPr>
      </w:pPr>
      <w:r>
        <w:rPr>
          <w:rFonts w:hint="eastAsia" w:ascii="楷体_GB2312" w:hAnsi="楷体_GB2312" w:eastAsia="楷体_GB2312" w:cs="楷体_GB2312"/>
          <w:sz w:val="32"/>
          <w:szCs w:val="32"/>
        </w:rPr>
        <w:t>5.照片核查处理工具已处理仍无法上传</w:t>
      </w:r>
    </w:p>
    <w:p>
      <w:pPr>
        <w:pStyle w:val="5"/>
        <w:widowControl/>
        <w:spacing w:beforeAutospacing="0" w:afterAutospacing="0" w:line="60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1）用中国人事考试网提供的照片处理工具进行处理。照片处理完成后，点击【保存退出】按钮，保存为处理后的照片，处理后的照片名称默认为报名照片.jpg，报名网站上传时，选择经过处理后的照片进行上传。</w:t>
      </w:r>
    </w:p>
    <w:p>
      <w:pPr>
        <w:pStyle w:val="5"/>
        <w:widowControl/>
        <w:spacing w:beforeAutospacing="0" w:afterAutospacing="0" w:line="60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（2）照片处理工具已处理，仍无法上传的，请更换网络环境后进行上传。</w:t>
      </w:r>
    </w:p>
    <w:p>
      <w:pPr>
        <w:pStyle w:val="5"/>
        <w:widowControl/>
        <w:spacing w:beforeAutospacing="0" w:afterAutospacing="0" w:line="600" w:lineRule="exact"/>
        <w:ind w:firstLine="640" w:firstLineChars="200"/>
        <w:rPr>
          <w:rFonts w:hint="eastAsia" w:ascii="楷体_GB2312" w:hAnsi="楷体_GB2312" w:eastAsia="楷体_GB2312" w:cs="楷体_GB2312"/>
          <w:sz w:val="32"/>
          <w:szCs w:val="32"/>
          <w:lang w:eastAsia="zh-CN"/>
        </w:rPr>
      </w:pPr>
      <w:r>
        <w:rPr>
          <w:rFonts w:hint="eastAsia" w:ascii="楷体_GB2312" w:hAnsi="楷体_GB2312" w:eastAsia="楷体_GB2312" w:cs="楷体_GB2312"/>
          <w:sz w:val="32"/>
          <w:szCs w:val="32"/>
        </w:rPr>
        <w:t>6.学历学位信息无法通过自动核验怎么办</w:t>
      </w:r>
    </w:p>
    <w:p>
      <w:pPr>
        <w:pStyle w:val="5"/>
        <w:widowControl/>
        <w:spacing w:beforeAutospacing="0" w:afterAutospacing="0" w:line="60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学历信息在2002年至今的大专以上（含大专），学位信息在2008年9月至今范围内的，可在线自动核查。</w:t>
      </w:r>
    </w:p>
    <w:p>
      <w:pPr>
        <w:pStyle w:val="5"/>
        <w:widowControl/>
        <w:spacing w:beforeAutospacing="0" w:afterAutospacing="0" w:line="60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（1）学历学位等相关信息数据在线自动核查未通过的报考人员，请上传《学历认证报告》后，持身份证、《教育部学历证书电子注册备案表》或《学历认证报告》等相关证明材料到现场进行现场核查。</w:t>
      </w:r>
    </w:p>
    <w:p>
      <w:pPr>
        <w:pStyle w:val="5"/>
        <w:widowControl/>
        <w:spacing w:beforeAutospacing="0" w:afterAutospacing="0" w:line="60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（2）国(境)外学历、学位请上传教育部留学服务中心认证的认证书；无法在线核查的报考人员，并持身份证、学历、学位证书原件及教育部留学服务中心认证的认证书，到现场进行现场核查。</w:t>
      </w:r>
    </w:p>
    <w:p>
      <w:pPr>
        <w:pStyle w:val="5"/>
        <w:widowControl/>
        <w:spacing w:beforeAutospacing="0" w:afterAutospacing="0" w:line="600" w:lineRule="exact"/>
        <w:ind w:firstLine="640" w:firstLineChars="200"/>
        <w:rPr>
          <w:rFonts w:hint="eastAsia" w:ascii="楷体_GB2312" w:hAnsi="楷体_GB2312" w:eastAsia="楷体_GB2312" w:cs="楷体_GB2312"/>
          <w:sz w:val="32"/>
          <w:szCs w:val="32"/>
          <w:lang w:eastAsia="zh-CN"/>
        </w:rPr>
      </w:pPr>
      <w:r>
        <w:rPr>
          <w:rFonts w:hint="eastAsia" w:ascii="楷体_GB2312" w:hAnsi="楷体_GB2312" w:eastAsia="楷体_GB2312" w:cs="楷体_GB2312"/>
          <w:sz w:val="32"/>
          <w:szCs w:val="32"/>
        </w:rPr>
        <w:t>7.如何查看学历学位信息是否通过</w:t>
      </w:r>
    </w:p>
    <w:p>
      <w:pPr>
        <w:pStyle w:val="5"/>
        <w:widowControl/>
        <w:spacing w:beforeAutospacing="0" w:afterAutospacing="0" w:line="60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考生登录系统后，在页面左侧点击【学历信息维护】和【学位信息维护】，可以进行学历学位核查结果查看。</w:t>
      </w:r>
    </w:p>
    <w:p>
      <w:pPr>
        <w:pStyle w:val="5"/>
        <w:widowControl/>
        <w:spacing w:beforeAutospacing="0" w:afterAutospacing="0" w:line="600" w:lineRule="exact"/>
        <w:ind w:firstLine="640" w:firstLineChars="200"/>
        <w:rPr>
          <w:rFonts w:hint="eastAsia" w:ascii="楷体_GB2312" w:hAnsi="楷体_GB2312" w:eastAsia="楷体_GB2312" w:cs="楷体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sz w:val="32"/>
          <w:szCs w:val="32"/>
        </w:rPr>
        <w:t>8.学历或学位在学信网可以查到，在报名系统中提示未通过核查，如何处理</w:t>
      </w:r>
    </w:p>
    <w:p>
      <w:pPr>
        <w:pStyle w:val="5"/>
        <w:widowControl/>
        <w:spacing w:beforeAutospacing="0" w:afterAutospacing="0" w:line="60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（1）请检查学历或学位信息是否填报正确，若检查无误，可继续填写报名信息，并按报名地考试组织机构有关规定接受现场核查，核查通过后方可交费。</w:t>
      </w:r>
    </w:p>
    <w:p>
      <w:pPr>
        <w:pStyle w:val="5"/>
        <w:widowControl/>
        <w:spacing w:beforeAutospacing="0" w:afterAutospacing="0" w:line="60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（2）现场核查通过后，报考该项考试时均显示为核查已通过。</w:t>
      </w:r>
    </w:p>
    <w:p>
      <w:pPr>
        <w:pStyle w:val="5"/>
        <w:widowControl/>
        <w:spacing w:beforeAutospacing="0" w:afterAutospacing="0" w:line="60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（3）学历学位信息最多可添加5条。</w:t>
      </w:r>
    </w:p>
    <w:p>
      <w:pPr>
        <w:pStyle w:val="5"/>
        <w:widowControl/>
        <w:spacing w:beforeAutospacing="0" w:afterAutospacing="0" w:line="600" w:lineRule="exact"/>
        <w:ind w:firstLine="640" w:firstLineChars="200"/>
        <w:rPr>
          <w:rFonts w:hint="eastAsia" w:ascii="楷体_GB2312" w:hAnsi="楷体_GB2312" w:eastAsia="楷体_GB2312" w:cs="楷体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sz w:val="32"/>
          <w:szCs w:val="32"/>
        </w:rPr>
        <w:t>9.学历或学位证书的姓名和现在的姓名不一致的，如何处理</w:t>
      </w:r>
    </w:p>
    <w:p>
      <w:pPr>
        <w:pStyle w:val="5"/>
        <w:widowControl/>
        <w:spacing w:beforeAutospacing="0" w:afterAutospacing="0" w:line="60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若学历或学位证书的姓名和现在的姓名不一致的，请携带证书原件和身份证原件至现场人工核查。</w:t>
      </w:r>
    </w:p>
    <w:p>
      <w:pPr>
        <w:pStyle w:val="5"/>
        <w:widowControl/>
        <w:spacing w:beforeAutospacing="0" w:afterAutospacing="0" w:line="600" w:lineRule="exact"/>
        <w:ind w:firstLine="640" w:firstLineChars="200"/>
        <w:rPr>
          <w:rFonts w:hint="eastAsia" w:ascii="楷体_GB2312" w:hAnsi="楷体_GB2312" w:eastAsia="楷体_GB2312" w:cs="楷体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sz w:val="32"/>
          <w:szCs w:val="32"/>
        </w:rPr>
        <w:t>10.无学位的人员是否需要添加学位信息</w:t>
      </w:r>
    </w:p>
    <w:p>
      <w:pPr>
        <w:pStyle w:val="5"/>
        <w:widowControl/>
        <w:spacing w:beforeAutospacing="0" w:afterAutospacing="0" w:line="60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无学位人员学位信息不需要填写。无需点击“添加学位信息”按钮。若已添加未通过的，不影响报名，报名时，按报名地考试组织机构有关规定，接受现场核查。</w:t>
      </w:r>
    </w:p>
    <w:p>
      <w:pPr>
        <w:pStyle w:val="5"/>
        <w:widowControl/>
        <w:spacing w:beforeAutospacing="0" w:afterAutospacing="0" w:line="600" w:lineRule="exact"/>
        <w:ind w:firstLine="640" w:firstLineChars="200"/>
        <w:rPr>
          <w:rFonts w:hint="eastAsia" w:ascii="楷体_GB2312" w:hAnsi="楷体_GB2312" w:eastAsia="楷体_GB2312" w:cs="楷体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sz w:val="32"/>
          <w:szCs w:val="32"/>
        </w:rPr>
        <w:t>11.填写报名信息时，点击按钮或者下拉框等没有反应</w:t>
      </w:r>
    </w:p>
    <w:p>
      <w:pPr>
        <w:pStyle w:val="5"/>
        <w:widowControl/>
        <w:spacing w:beforeAutospacing="0" w:afterAutospacing="0" w:line="60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因为系统升级了新版UI，不兼容低版本IE浏览器，推荐使用谷歌浏览器、360浏览器的极速模式、搜狗浏览器的高速模式或IE浏览器（10以上版本）访问系统。</w:t>
      </w:r>
    </w:p>
    <w:p>
      <w:pPr>
        <w:pStyle w:val="5"/>
        <w:widowControl/>
        <w:spacing w:beforeAutospacing="0" w:afterAutospacing="0" w:line="600" w:lineRule="exact"/>
        <w:ind w:firstLine="640" w:firstLineChars="200"/>
        <w:rPr>
          <w:rFonts w:hint="eastAsia" w:ascii="楷体_GB2312" w:hAnsi="楷体_GB2312" w:eastAsia="楷体_GB2312" w:cs="楷体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sz w:val="32"/>
          <w:szCs w:val="32"/>
        </w:rPr>
        <w:t>12.选择“不采用告知承诺制”报考，应注意哪些</w:t>
      </w:r>
    </w:p>
    <w:p>
      <w:pPr>
        <w:pStyle w:val="5"/>
        <w:widowControl/>
        <w:spacing w:beforeAutospacing="0" w:afterAutospacing="0" w:line="60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（1）选择“不采用告知承诺制”报考，按要求上传所需材料、确认报名信息、打印《报名表》，持身份证件、相关材料原件及《报名表》到沈阳市考试院现场核查。</w:t>
      </w:r>
    </w:p>
    <w:p>
      <w:pPr>
        <w:pStyle w:val="5"/>
        <w:widowControl/>
        <w:spacing w:beforeAutospacing="0" w:afterAutospacing="0" w:line="60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（2）选择“不采用告知承诺制”报考后，不能再选择“采用告知承诺制方式”。</w:t>
      </w:r>
    </w:p>
    <w:p>
      <w:pPr>
        <w:pStyle w:val="5"/>
        <w:widowControl/>
        <w:spacing w:beforeAutospacing="0" w:afterAutospacing="0" w:line="600" w:lineRule="exact"/>
        <w:ind w:firstLine="640" w:firstLineChars="200"/>
        <w:rPr>
          <w:rFonts w:hint="eastAsia" w:ascii="楷体_GB2312" w:hAnsi="楷体_GB2312" w:eastAsia="楷体_GB2312" w:cs="楷体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sz w:val="32"/>
          <w:szCs w:val="32"/>
        </w:rPr>
        <w:t>13.申请撤回采用告知承诺制后，报名核查流程是什么</w:t>
      </w:r>
    </w:p>
    <w:p>
      <w:pPr>
        <w:pStyle w:val="5"/>
        <w:widowControl/>
        <w:spacing w:beforeAutospacing="0" w:afterAutospacing="0" w:line="60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报考人员作出承诺后，可在未缴费且报名截止前撤回承诺，报名按现场核查报名流程办理；报考人员撤回承诺的，本年度此项考试中不再适用告知承诺制。</w:t>
      </w:r>
    </w:p>
    <w:p>
      <w:pPr>
        <w:pStyle w:val="5"/>
        <w:widowControl/>
        <w:spacing w:beforeAutospacing="0" w:afterAutospacing="0" w:line="600" w:lineRule="exact"/>
        <w:ind w:firstLine="640" w:firstLineChars="200"/>
        <w:rPr>
          <w:rFonts w:hint="eastAsia" w:ascii="楷体_GB2312" w:hAnsi="楷体_GB2312" w:eastAsia="楷体_GB2312" w:cs="楷体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sz w:val="32"/>
          <w:szCs w:val="32"/>
        </w:rPr>
        <w:t>14.职业资格考试报名平台有哪些</w:t>
      </w:r>
    </w:p>
    <w:p>
      <w:pPr>
        <w:pStyle w:val="5"/>
        <w:widowControl/>
        <w:spacing w:beforeAutospacing="0" w:afterAutospacing="0" w:line="60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沈阳市考试院、辽宁人事考试网、中国人事考试网。</w:t>
      </w:r>
    </w:p>
    <w:p>
      <w:pPr>
        <w:pStyle w:val="5"/>
        <w:widowControl/>
        <w:spacing w:beforeAutospacing="0" w:afterAutospacing="0" w:line="600" w:lineRule="exact"/>
        <w:ind w:firstLine="640" w:firstLineChars="200"/>
        <w:rPr>
          <w:rFonts w:hint="eastAsia" w:ascii="楷体_GB2312" w:hAnsi="楷体_GB2312" w:eastAsia="楷体_GB2312" w:cs="楷体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  <w:t>15.</w:t>
      </w:r>
      <w:r>
        <w:rPr>
          <w:rFonts w:hint="eastAsia" w:ascii="楷体_GB2312" w:hAnsi="楷体_GB2312" w:eastAsia="楷体_GB2312" w:cs="楷体_GB2312"/>
          <w:sz w:val="32"/>
          <w:szCs w:val="32"/>
        </w:rPr>
        <w:t>其他关于职业资格考试报考的实际操作问题如何处理</w:t>
      </w:r>
    </w:p>
    <w:p>
      <w:pPr>
        <w:pStyle w:val="5"/>
        <w:widowControl/>
        <w:spacing w:beforeAutospacing="0" w:afterAutospacing="0" w:line="60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报名操作问题可访问如下链接：</w:t>
      </w:r>
    </w:p>
    <w:p>
      <w:pPr>
        <w:pStyle w:val="5"/>
        <w:widowControl/>
        <w:spacing w:beforeAutospacing="0" w:afterAutospacing="0" w:line="600" w:lineRule="exact"/>
        <w:ind w:left="319" w:leftChars="152" w:firstLine="280" w:firstLineChars="100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https://zg.cpta.com.cn/examfront/signup/help/help_out.jsp</w:t>
      </w:r>
    </w:p>
    <w:sectPr>
      <w:footerReference r:id="rId3" w:type="default"/>
      <w:pgSz w:w="11906" w:h="16838"/>
      <w:pgMar w:top="2041" w:right="1361" w:bottom="1531" w:left="1588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445135" cy="230505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445135" cy="23050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  <w:rPr>
                              <w:rFonts w:asciiTheme="minorEastAsia" w:hAnsiTheme="minorEastAsia" w:cstheme="minorEastAsia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Theme="minorEastAsia" w:hAnsiTheme="minorEastAsia" w:cstheme="min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cstheme="min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cstheme="min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Theme="minorEastAsia" w:hAnsiTheme="minorEastAsia" w:cstheme="minorEastAsia"/>
                              <w:sz w:val="28"/>
                              <w:szCs w:val="28"/>
                            </w:rPr>
                            <w:t>- 6 -</w:t>
                          </w:r>
                          <w:r>
                            <w:rPr>
                              <w:rFonts w:hint="eastAsia" w:asciiTheme="minorEastAsia" w:hAnsiTheme="minorEastAsia" w:cstheme="minorEastAsia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false" anchor="t" anchorCtr="false" forceAA="false" compatLnSpc="true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8.15pt;width:35.05pt;mso-position-horizontal:center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BYAAABkcnMvUEsBAhQAFAAAAAgA&#10;h07iQH33PhvSAAAAAwEAAA8AAAAAAAAAAQAgAAAAOAAAAGRycy9kb3ducmV2LnhtbFBLAQIUABQA&#10;AAAIAIdO4kDCoMIVGQIAABcEAAAOAAAAAAAAAAEAIAAAADc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  <w:rPr>
                        <w:rFonts w:asciiTheme="minorEastAsia" w:hAnsiTheme="minorEastAsia" w:cstheme="minorEastAsia"/>
                        <w:sz w:val="28"/>
                        <w:szCs w:val="28"/>
                      </w:rPr>
                    </w:pPr>
                    <w:r>
                      <w:rPr>
                        <w:rFonts w:hint="eastAsia" w:asciiTheme="minorEastAsia" w:hAnsiTheme="minorEastAsia" w:cstheme="min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cstheme="min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cstheme="min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Theme="minorEastAsia" w:hAnsiTheme="minorEastAsia" w:cstheme="minorEastAsia"/>
                        <w:sz w:val="28"/>
                        <w:szCs w:val="28"/>
                      </w:rPr>
                      <w:t>- 6 -</w:t>
                    </w:r>
                    <w:r>
                      <w:rPr>
                        <w:rFonts w:hint="eastAsia" w:asciiTheme="minorEastAsia" w:hAnsiTheme="minorEastAsia" w:cstheme="minorEastAsia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9"/>
  <w:embedSystemFonts/>
  <w:bordersDoNotSurroundHeader w:val="true"/>
  <w:bordersDoNotSurroundFooter w:val="true"/>
  <w:documentProtection w:enforcement="0"/>
  <w:defaultTabStop w:val="420"/>
  <w:drawingGridVerticalSpacing w:val="156"/>
  <w:noPunctuationKerning w:val="true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2UwOGNiY2M1YjYyZTM0MzcwODIyYWRlN2FhOWM5ZjUifQ=="/>
  </w:docVars>
  <w:rsids>
    <w:rsidRoot w:val="00BD687E"/>
    <w:rsid w:val="00013019"/>
    <w:rsid w:val="000C2CB4"/>
    <w:rsid w:val="0013565E"/>
    <w:rsid w:val="001C5B78"/>
    <w:rsid w:val="00266550"/>
    <w:rsid w:val="0028350B"/>
    <w:rsid w:val="003303D7"/>
    <w:rsid w:val="003360FC"/>
    <w:rsid w:val="00371DF6"/>
    <w:rsid w:val="003A7C3C"/>
    <w:rsid w:val="003E2E52"/>
    <w:rsid w:val="00413005"/>
    <w:rsid w:val="005A09E2"/>
    <w:rsid w:val="00857232"/>
    <w:rsid w:val="00891B50"/>
    <w:rsid w:val="00900401"/>
    <w:rsid w:val="00950339"/>
    <w:rsid w:val="009555A0"/>
    <w:rsid w:val="00955B97"/>
    <w:rsid w:val="009A0E59"/>
    <w:rsid w:val="00A04FCB"/>
    <w:rsid w:val="00AE0822"/>
    <w:rsid w:val="00B1494E"/>
    <w:rsid w:val="00B741F3"/>
    <w:rsid w:val="00BA07DD"/>
    <w:rsid w:val="00BD3EA5"/>
    <w:rsid w:val="00BD687E"/>
    <w:rsid w:val="00D1526A"/>
    <w:rsid w:val="00D36004"/>
    <w:rsid w:val="00DA5709"/>
    <w:rsid w:val="00E239D5"/>
    <w:rsid w:val="00E77341"/>
    <w:rsid w:val="04010938"/>
    <w:rsid w:val="043F39C1"/>
    <w:rsid w:val="0CF07A1F"/>
    <w:rsid w:val="198A6AB4"/>
    <w:rsid w:val="1AA628E0"/>
    <w:rsid w:val="203B6BFE"/>
    <w:rsid w:val="275FB43F"/>
    <w:rsid w:val="30CC3FBF"/>
    <w:rsid w:val="33001701"/>
    <w:rsid w:val="33897B3A"/>
    <w:rsid w:val="392E4C01"/>
    <w:rsid w:val="3D9453FF"/>
    <w:rsid w:val="43497C5C"/>
    <w:rsid w:val="442747FA"/>
    <w:rsid w:val="45321BEC"/>
    <w:rsid w:val="47902036"/>
    <w:rsid w:val="4E843E1F"/>
    <w:rsid w:val="539259D4"/>
    <w:rsid w:val="55D71EBB"/>
    <w:rsid w:val="5A361EC2"/>
    <w:rsid w:val="5CA556B6"/>
    <w:rsid w:val="617C7473"/>
    <w:rsid w:val="69DA57C3"/>
    <w:rsid w:val="725320B1"/>
    <w:rsid w:val="734B1ED4"/>
    <w:rsid w:val="75035633"/>
    <w:rsid w:val="77EDE468"/>
    <w:rsid w:val="7CF72B90"/>
    <w:rsid w:val="7DC32231"/>
    <w:rsid w:val="DFE5F8DA"/>
    <w:rsid w:val="F98F856D"/>
    <w:rsid w:val="FF7FCF0A"/>
    <w:rsid w:val="FFDF85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qFormat="1" w:uiPriority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qFormat="1" w:unhideWhenUsed="0" w:uiPriority="0" w:semiHidden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2"/>
    <w:qFormat/>
    <w:uiPriority w:val="0"/>
    <w:rPr>
      <w:sz w:val="18"/>
      <w:szCs w:val="18"/>
    </w:rPr>
  </w:style>
  <w:style w:type="paragraph" w:styleId="3">
    <w:name w:val="footer"/>
    <w:basedOn w:val="1"/>
    <w:link w:val="1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0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8">
    <w:name w:val="Strong"/>
    <w:basedOn w:val="7"/>
    <w:qFormat/>
    <w:uiPriority w:val="0"/>
    <w:rPr>
      <w:b/>
    </w:rPr>
  </w:style>
  <w:style w:type="character" w:styleId="9">
    <w:name w:val="Hyperlink"/>
    <w:basedOn w:val="7"/>
    <w:semiHidden/>
    <w:unhideWhenUsed/>
    <w:qFormat/>
    <w:uiPriority w:val="0"/>
    <w:rPr>
      <w:color w:val="0000FF"/>
      <w:u w:val="single"/>
    </w:rPr>
  </w:style>
  <w:style w:type="character" w:customStyle="1" w:styleId="10">
    <w:name w:val="页眉 字符"/>
    <w:basedOn w:val="7"/>
    <w:link w:val="4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1">
    <w:name w:val="页脚 字符"/>
    <w:basedOn w:val="7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2">
    <w:name w:val="批注框文本 字符"/>
    <w:basedOn w:val="7"/>
    <w:link w:val="2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240</Words>
  <Characters>1374</Characters>
  <Lines>11</Lines>
  <Paragraphs>3</Paragraphs>
  <TotalTime>17</TotalTime>
  <ScaleCrop>false</ScaleCrop>
  <LinksUpToDate>false</LinksUpToDate>
  <CharactersWithSpaces>1611</CharactersWithSpaces>
  <Application>WPS Office_11.8.2.10386_F1E327BC-269C-435d-A152-05C5408002CA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2023-02-23T06:18:00Z</dcterms:created>
  <dc:creator>Administrator</dc:creator>
  <cp:lastModifiedBy>user</cp:lastModifiedBy>
  <cp:lastPrinted>2022-07-08T01:56:00Z</cp:lastPrinted>
  <dcterms:modified xsi:type="dcterms:W3CDTF">2024-03-11T15:59:04Z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2052-11.8.2.10386</vt:lpwstr>
  </property>
  <property fmtid="{D5CDD505-2E9C-101B-9397-08002B2CF9AE}" pid="3" name="ICV">
    <vt:lpwstr>19EACDE254C1445B87BFEDFEC125B677</vt:lpwstr>
  </property>
</Properties>
</file>