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right="0"/>
        <w:jc w:val="both"/>
        <w:rPr>
          <w:rFonts w:hint="eastAsia" w:ascii="方正仿宋_GB2312" w:hAnsi="方正仿宋_GB2312" w:eastAsia="方正仿宋_GB2312" w:cs="方正仿宋_GB2312"/>
          <w:bCs/>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附件</w:t>
      </w:r>
    </w:p>
    <w:p>
      <w:pPr>
        <w:keepNext w:val="0"/>
        <w:keepLines w:val="0"/>
        <w:widowControl w:val="0"/>
        <w:suppressLineNumbers w:val="0"/>
        <w:autoSpaceDE w:val="0"/>
        <w:autoSpaceDN/>
        <w:spacing w:before="0" w:beforeAutospacing="0" w:after="0" w:afterAutospacing="0" w:line="440" w:lineRule="exact"/>
        <w:ind w:left="0" w:right="0"/>
        <w:jc w:val="center"/>
        <w:rPr>
          <w:rFonts w:hint="eastAsia" w:ascii="方正小标宋简体" w:hAnsi="方正小标宋简体" w:eastAsia="方正小标宋简体" w:cs="方正小标宋简体"/>
          <w:sz w:val="36"/>
          <w:szCs w:val="36"/>
          <w:lang w:val="en-US"/>
        </w:rPr>
      </w:pPr>
      <w:bookmarkStart w:id="0" w:name="_GoBack"/>
      <w:r>
        <w:rPr>
          <w:rFonts w:hint="eastAsia" w:ascii="方正小标宋简体" w:hAnsi="方正小标宋简体" w:eastAsia="方正小标宋简体" w:cs="方正小标宋简体"/>
          <w:kern w:val="2"/>
          <w:sz w:val="36"/>
          <w:szCs w:val="36"/>
          <w:lang w:val="en-US" w:eastAsia="zh-CN" w:bidi="ar"/>
        </w:rPr>
        <w:t>应试人员个人健康情况排查表</w:t>
      </w:r>
      <w:bookmarkEnd w:id="0"/>
    </w:p>
    <w:p>
      <w:pPr>
        <w:keepNext w:val="0"/>
        <w:keepLines w:val="0"/>
        <w:widowControl w:val="0"/>
        <w:suppressLineNumbers w:val="0"/>
        <w:autoSpaceDE w:val="0"/>
        <w:autoSpaceDN/>
        <w:spacing w:before="0" w:beforeAutospacing="0" w:after="0" w:afterAutospacing="0" w:line="400" w:lineRule="exact"/>
        <w:ind w:left="-840" w:leftChars="-400" w:right="0" w:firstLine="840" w:firstLineChars="3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姓名：          身份证号：                  联系电话：                </w:t>
      </w:r>
    </w:p>
    <w:p>
      <w:pPr>
        <w:keepNext w:val="0"/>
        <w:keepLines w:val="0"/>
        <w:widowControl w:val="0"/>
        <w:suppressLineNumbers w:val="0"/>
        <w:autoSpaceDE w:val="0"/>
        <w:autoSpaceDN/>
        <w:spacing w:before="0" w:beforeAutospacing="0" w:after="0" w:afterAutospacing="0" w:line="400" w:lineRule="exact"/>
        <w:ind w:left="-840" w:leftChars="-400" w:right="0" w:firstLine="840" w:firstLineChars="3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体温：    </w:t>
      </w:r>
      <w:r>
        <w:rPr>
          <w:rStyle w:val="6"/>
          <w:rFonts w:hint="eastAsia" w:ascii="仿宋_GB2312" w:hAnsi="仿宋_GB2312" w:eastAsia="仿宋_GB2312" w:cs="仿宋_GB2312"/>
          <w:i w:val="0"/>
          <w:iCs w:val="0"/>
          <w:color w:val="333333"/>
          <w:kern w:val="2"/>
          <w:sz w:val="30"/>
          <w:szCs w:val="30"/>
          <w:shd w:val="clear" w:fill="FFFFFF"/>
          <w:lang w:val="en-US" w:eastAsia="zh-CN" w:bidi="ar"/>
        </w:rPr>
        <w:t>℃</w:t>
      </w:r>
      <w:r>
        <w:rPr>
          <w:rFonts w:hint="eastAsia" w:ascii="仿宋_GB2312" w:hAnsi="Calibri" w:eastAsia="仿宋_GB2312" w:cs="仿宋_GB2312"/>
          <w:kern w:val="2"/>
          <w:sz w:val="28"/>
          <w:szCs w:val="28"/>
          <w:lang w:val="en-US" w:eastAsia="zh-CN" w:bidi="ar"/>
        </w:rPr>
        <w:t xml:space="preserve">    报名单位：                         </w:t>
      </w:r>
    </w:p>
    <w:p>
      <w:pPr>
        <w:keepNext w:val="0"/>
        <w:keepLines w:val="0"/>
        <w:widowControl w:val="0"/>
        <w:suppressLineNumbers w:val="0"/>
        <w:autoSpaceDE w:val="0"/>
        <w:autoSpaceDN/>
        <w:spacing w:before="0" w:beforeAutospacing="0" w:after="0" w:afterAutospacing="0" w:line="400" w:lineRule="exact"/>
        <w:ind w:left="-840" w:leftChars="-400" w:right="0" w:firstLine="840" w:firstLineChars="3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现地址（具体到门牌号）：                             </w:t>
      </w:r>
    </w:p>
    <w:tbl>
      <w:tblPr>
        <w:tblStyle w:val="4"/>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099"/>
        <w:gridCol w:w="1184"/>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96" w:hRule="atLeast"/>
          <w:jc w:val="center"/>
        </w:trPr>
        <w:tc>
          <w:tcPr>
            <w:tcW w:w="71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sz w:val="24"/>
                <w:szCs w:val="24"/>
                <w:bdr w:val="none" w:color="auto" w:sz="0" w:space="0"/>
                <w:lang w:val="en-US"/>
              </w:rPr>
            </w:pPr>
            <w:r>
              <w:rPr>
                <w:rFonts w:hint="eastAsia" w:ascii="方正黑体_GBK" w:hAnsi="方正黑体_GBK" w:eastAsia="方正黑体_GBK" w:cs="方正黑体_GBK"/>
                <w:kern w:val="2"/>
                <w:sz w:val="24"/>
                <w:szCs w:val="24"/>
                <w:bdr w:val="none" w:color="auto" w:sz="0" w:space="0"/>
                <w:lang w:val="en-US" w:eastAsia="zh-CN" w:bidi="ar"/>
              </w:rPr>
              <w:t>有关情况</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sz w:val="24"/>
                <w:szCs w:val="24"/>
                <w:bdr w:val="none" w:color="auto" w:sz="0" w:space="0"/>
                <w:lang w:val="en-US"/>
              </w:rPr>
            </w:pPr>
            <w:r>
              <w:rPr>
                <w:rFonts w:hint="eastAsia" w:ascii="方正黑体_GBK" w:hAnsi="方正黑体_GBK" w:eastAsia="方正黑体_GBK" w:cs="方正黑体_GBK"/>
                <w:kern w:val="2"/>
                <w:sz w:val="24"/>
                <w:szCs w:val="24"/>
                <w:bdr w:val="none" w:color="auto" w:sz="0" w:space="0"/>
                <w:lang w:val="en-US" w:eastAsia="zh-CN" w:bidi="ar"/>
              </w:rPr>
              <w:t>本人</w:t>
            </w: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黑体" w:hAnsi="宋体" w:eastAsia="黑体" w:cs="黑体"/>
                <w:sz w:val="24"/>
                <w:szCs w:val="24"/>
                <w:bdr w:val="none" w:color="auto" w:sz="0" w:space="0"/>
                <w:lang w:val="en-US"/>
              </w:rPr>
            </w:pPr>
            <w:r>
              <w:rPr>
                <w:rFonts w:hint="eastAsia" w:ascii="方正黑体_GBK" w:hAnsi="方正黑体_GBK" w:eastAsia="方正黑体_GBK" w:cs="方正黑体_GBK"/>
                <w:kern w:val="2"/>
                <w:sz w:val="24"/>
                <w:szCs w:val="24"/>
                <w:bdr w:val="none" w:color="auto" w:sz="0" w:space="0"/>
                <w:lang w:val="en-US" w:eastAsia="zh-CN" w:bidi="ar"/>
              </w:rPr>
              <w:t>共同居住人员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001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left"/>
              <w:rPr>
                <w:rFonts w:hint="eastAsia" w:ascii="黑体" w:hAnsi="宋体" w:eastAsia="黑体" w:cs="黑体"/>
                <w:sz w:val="24"/>
                <w:szCs w:val="24"/>
                <w:bdr w:val="none" w:color="auto" w:sz="0" w:space="0"/>
                <w:lang w:val="en-US"/>
              </w:rPr>
            </w:pPr>
            <w:r>
              <w:rPr>
                <w:rFonts w:hint="eastAsia" w:ascii="方正黑体_GBK" w:hAnsi="方正黑体_GBK" w:eastAsia="方正黑体_GBK" w:cs="方正黑体_GBK"/>
                <w:kern w:val="2"/>
                <w:sz w:val="24"/>
                <w:szCs w:val="24"/>
                <w:bdr w:val="none" w:color="auto" w:sz="0" w:space="0"/>
                <w:lang w:val="en-US" w:eastAsia="zh-CN" w:bidi="ar"/>
              </w:rPr>
              <w:t>一、流行病史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1.21天内有中、高风险地区旅居史</w:t>
            </w:r>
          </w:p>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b/>
                <w:bCs/>
                <w:i w:val="0"/>
                <w:iCs w:val="0"/>
                <w:color w:val="333333"/>
                <w:kern w:val="0"/>
                <w:sz w:val="24"/>
                <w:szCs w:val="24"/>
                <w:bdr w:val="none" w:color="auto" w:sz="0" w:space="0"/>
                <w:shd w:val="clear" w:fill="FFFFFF"/>
                <w:lang w:val="en-US" w:eastAsia="zh-CN" w:bidi="ar"/>
              </w:rPr>
              <w:t>具体地区名单：</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2.28天内本人有境外旅居史、隔离史</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3.21天内曾接触过来自中、高风险地区的有发热或呼吸道症状的患者</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4.21天内曾接触过新冠病毒感染者或其密切接触者</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5.聚集性发病患者（21天内在小范围如家庭、办公室、学校班级等场所，出现2例及以上发热或呼吸道症状的患者）</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001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left"/>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方正黑体_GBK" w:hAnsi="方正黑体_GBK" w:eastAsia="方正黑体_GBK" w:cs="方正黑体_GBK"/>
                <w:i w:val="0"/>
                <w:iCs w:val="0"/>
                <w:color w:val="333333"/>
                <w:kern w:val="0"/>
                <w:sz w:val="24"/>
                <w:szCs w:val="24"/>
                <w:bdr w:val="none" w:color="auto" w:sz="0" w:space="0"/>
                <w:shd w:val="clear" w:fill="FFFFFF"/>
                <w:lang w:val="en-US" w:eastAsia="zh-CN" w:bidi="ar"/>
              </w:rPr>
              <w:t>二、风险人群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1.流行病史中所述任一情况人员的共同居住者</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2.本人或共同居住者从事可能接触新冠病毒或新冠病毒感染者相关工作的较高风险人群，主要包括：</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①进口冷链、海鲜、肉类等食品监管和从业人员等</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②集中医学观察场所从业人员等</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③新冠肺炎医疗救治定点医院、医疗机构发热门诊和急诊等相关各类人员等</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④边境、港口、码头、口岸、进口货物直接接触人员，民航等国际交通运输工具从业人员、船舶引航员等登临外籍船舶相关从业人员，移民、海关以及交通运输等相关工作人员等</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40" w:lineRule="exact"/>
              <w:ind w:left="0" w:right="0"/>
              <w:jc w:val="both"/>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3.纳入社区管理处于健康监测期的来自中高风险地区人员、解除医学观察人员、入境人员等</w:t>
            </w:r>
          </w:p>
        </w:tc>
        <w:tc>
          <w:tcPr>
            <w:tcW w:w="118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c>
          <w:tcPr>
            <w:tcW w:w="172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center"/>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left"/>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方正黑体_GBK" w:hAnsi="方正黑体_GBK" w:eastAsia="方正黑体_GBK" w:cs="方正黑体_GBK"/>
                <w:i w:val="0"/>
                <w:iCs w:val="0"/>
                <w:color w:val="333333"/>
                <w:kern w:val="0"/>
                <w:sz w:val="24"/>
                <w:szCs w:val="24"/>
                <w:bdr w:val="none" w:color="auto" w:sz="0" w:space="0"/>
                <w:shd w:val="clear" w:fill="FFFFFF"/>
                <w:lang w:val="en-US" w:eastAsia="zh-CN" w:bidi="ar"/>
              </w:rPr>
              <w:t>三、新冠肺炎相关症状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40" w:lineRule="exact"/>
              <w:ind w:left="0" w:right="0"/>
              <w:jc w:val="left"/>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b/>
                <w:bCs/>
                <w:i w:val="0"/>
                <w:iCs w:val="0"/>
                <w:color w:val="333333"/>
                <w:kern w:val="0"/>
                <w:sz w:val="24"/>
                <w:szCs w:val="24"/>
                <w:bdr w:val="none" w:color="auto" w:sz="0" w:space="0"/>
                <w:shd w:val="clear" w:fill="FFFFFF"/>
                <w:lang w:val="en-US" w:eastAsia="zh-CN" w:bidi="ar"/>
              </w:rPr>
              <w:t>目前有或者14天内有：</w:t>
            </w: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 xml:space="preserve">发热□是□否 干咳□是□否 乏力□是□否 鼻塞□是□否 </w:t>
            </w:r>
          </w:p>
          <w:p>
            <w:pPr>
              <w:keepNext w:val="0"/>
              <w:keepLines w:val="0"/>
              <w:widowControl w:val="0"/>
              <w:suppressLineNumbers w:val="0"/>
              <w:spacing w:before="0" w:beforeAutospacing="0" w:after="0" w:afterAutospacing="0" w:line="340" w:lineRule="exact"/>
              <w:ind w:left="0" w:right="0"/>
              <w:jc w:val="left"/>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 xml:space="preserve">流涕□是□否 咽痛□是□否 肌痛□是□否 结膜炎□是□否 腹泻□是□否 </w:t>
            </w:r>
          </w:p>
          <w:p>
            <w:pPr>
              <w:keepNext w:val="0"/>
              <w:keepLines w:val="0"/>
              <w:widowControl w:val="0"/>
              <w:suppressLineNumbers w:val="0"/>
              <w:spacing w:before="0" w:beforeAutospacing="0" w:after="0" w:afterAutospacing="0" w:line="340" w:lineRule="exact"/>
              <w:ind w:left="0" w:right="0"/>
              <w:jc w:val="left"/>
              <w:rPr>
                <w:rFonts w:hint="eastAsia" w:ascii="仿宋_GB2312" w:hAnsi="仿宋_GB2312" w:eastAsia="仿宋_GB2312" w:cs="仿宋_GB2312"/>
                <w:i w:val="0"/>
                <w:iCs w:val="0"/>
                <w:color w:val="333333"/>
                <w:kern w:val="0"/>
                <w:sz w:val="24"/>
                <w:szCs w:val="24"/>
                <w:bdr w:val="none" w:color="auto" w:sz="0" w:space="0"/>
                <w:shd w:val="clear" w:fill="FFFFFF"/>
                <w:lang w:val="en-US" w:bidi="ar"/>
              </w:rPr>
            </w:pPr>
            <w:r>
              <w:rPr>
                <w:rStyle w:val="6"/>
                <w:rFonts w:hint="eastAsia" w:ascii="仿宋_GB2312" w:hAnsi="仿宋_GB2312" w:eastAsia="仿宋_GB2312" w:cs="仿宋_GB2312"/>
                <w:i w:val="0"/>
                <w:iCs w:val="0"/>
                <w:color w:val="333333"/>
                <w:kern w:val="0"/>
                <w:sz w:val="24"/>
                <w:szCs w:val="24"/>
                <w:bdr w:val="none" w:color="auto" w:sz="0" w:space="0"/>
                <w:shd w:val="clear" w:fill="FFFFFF"/>
                <w:lang w:val="en-US" w:eastAsia="zh-CN" w:bidi="ar"/>
              </w:rPr>
              <w:t>嗅（味）觉减退（丧失）□是□否</w:t>
            </w:r>
          </w:p>
        </w:tc>
      </w:tr>
    </w:tbl>
    <w:p>
      <w:pPr>
        <w:keepNext w:val="0"/>
        <w:keepLines w:val="0"/>
        <w:widowControl/>
        <w:suppressLineNumbers w:val="0"/>
        <w:spacing w:before="0" w:beforeAutospacing="0" w:after="0" w:afterAutospacing="0" w:line="300" w:lineRule="exact"/>
        <w:ind w:left="0" w:right="0"/>
        <w:jc w:val="left"/>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注：1.根据《传染病防治法》及疫情防控要求，不如实提供信息将承担相应法律责任。</w:t>
      </w:r>
    </w:p>
    <w:p>
      <w:pPr>
        <w:keepNext w:val="0"/>
        <w:keepLines w:val="0"/>
        <w:widowControl/>
        <w:suppressLineNumbers w:val="0"/>
        <w:spacing w:before="0" w:beforeAutospacing="0" w:after="0" w:afterAutospacing="0" w:line="300" w:lineRule="exact"/>
        <w:ind w:left="0" w:right="0" w:firstLine="482" w:firstLineChars="200"/>
        <w:jc w:val="left"/>
        <w:rPr>
          <w:b/>
          <w:bCs/>
          <w:sz w:val="20"/>
          <w:szCs w:val="20"/>
          <w:lang w:val="en-US"/>
        </w:rPr>
      </w:pPr>
      <w:r>
        <w:rPr>
          <w:rFonts w:hint="eastAsia" w:ascii="仿宋" w:hAnsi="仿宋" w:eastAsia="仿宋" w:cs="仿宋"/>
          <w:b/>
          <w:bCs/>
          <w:kern w:val="2"/>
          <w:sz w:val="24"/>
          <w:szCs w:val="24"/>
          <w:lang w:val="en-US" w:eastAsia="zh-CN" w:bidi="ar"/>
        </w:rPr>
        <w:t>2.考试当天入场检查时请主动提交本表。</w:t>
      </w:r>
    </w:p>
    <w:p>
      <w:pPr>
        <w:keepNext w:val="0"/>
        <w:keepLines w:val="0"/>
        <w:widowControl w:val="0"/>
        <w:suppressLineNumbers w:val="0"/>
        <w:spacing w:before="0" w:beforeAutospacing="0" w:after="0" w:afterAutospacing="0" w:line="300" w:lineRule="exact"/>
        <w:ind w:left="0" w:right="-939" w:rightChars="-447"/>
        <w:jc w:val="both"/>
        <w:rPr>
          <w:rFonts w:hint="eastAsia" w:ascii="仿宋" w:hAnsi="仿宋" w:eastAsia="仿宋" w:cs="仿宋"/>
          <w:sz w:val="24"/>
          <w:szCs w:val="24"/>
          <w:lang w:val="en-US"/>
        </w:rPr>
      </w:pPr>
    </w:p>
    <w:p>
      <w:pPr>
        <w:keepNext w:val="0"/>
        <w:keepLines w:val="0"/>
        <w:widowControl w:val="0"/>
        <w:suppressLineNumbers w:val="0"/>
        <w:spacing w:before="0" w:beforeAutospacing="0" w:after="0" w:afterAutospacing="0" w:line="300" w:lineRule="exact"/>
        <w:ind w:left="-756" w:leftChars="-360" w:right="-939" w:rightChars="-447" w:firstLine="940" w:firstLineChars="392"/>
        <w:jc w:val="both"/>
      </w:pPr>
      <w:r>
        <w:rPr>
          <w:rFonts w:hint="eastAsia" w:ascii="仿宋" w:hAnsi="仿宋" w:eastAsia="仿宋" w:cs="仿宋"/>
          <w:kern w:val="2"/>
          <w:sz w:val="24"/>
          <w:szCs w:val="24"/>
          <w:lang w:val="en-US" w:eastAsia="zh-CN" w:bidi="ar"/>
        </w:rPr>
        <w:t>应试人员签名：                                        2022年   月   日</w:t>
      </w:r>
    </w:p>
    <w:sectPr>
      <w:pgSz w:w="11906" w:h="16838"/>
      <w:pgMar w:top="2041" w:right="1361" w:bottom="1587"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variable"/>
    <w:sig w:usb0="00000001" w:usb1="080E0000" w:usb2="00000000" w:usb3="00000000" w:csb0="00040000" w:csb1="00000000"/>
  </w:font>
  <w:font w:name="@方正黑体_GBK">
    <w:altName w:val="黑体"/>
    <w:panose1 w:val="00000000000000000000"/>
    <w:charset w:val="86"/>
    <w:family w:val="auto"/>
    <w:pitch w:val="default"/>
    <w:sig w:usb0="00000001" w:usb1="08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Cambria Math">
    <w:panose1 w:val="02040503050406030204"/>
    <w:charset w:val="00"/>
    <w:family w:val="auto"/>
    <w:pitch w:val="variable"/>
    <w:sig w:usb0="E00006FF" w:usb1="420024FF" w:usb2="02000000" w:usb3="00000000" w:csb0="2000019F" w:csb1="00000000"/>
  </w:font>
  <w:font w:name="仿宋_GB2312">
    <w:panose1 w:val="02010609030101010101"/>
    <w:charset w:val="86"/>
    <w:family w:val="auto"/>
    <w:pitch w:val="fixed"/>
    <w:sig w:usb0="00000001" w:usb1="080E0000" w:usb2="00000000" w:usb3="00000000" w:csb0="00040000" w:csb1="00000000"/>
  </w:font>
  <w:font w:name="方正黑体_GBK">
    <w:altName w:val="微软雅黑"/>
    <w:panose1 w:val="00000000000000000000"/>
    <w:charset w:val="86"/>
    <w:family w:val="auto"/>
    <w:pitch w:val="default"/>
    <w:sig w:usb0="00000001" w:usb1="08000000" w:usb2="0000000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方正小标宋简体">
    <w:panose1 w:val="02010601030101010101"/>
    <w:charset w:val="86"/>
    <w:family w:val="auto"/>
    <w:pitch w:val="variable"/>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DMzZjUwYTRhN2I2N2E0MjVmMDUzMjZiMTc0MzIifQ=="/>
  </w:docVars>
  <w:rsids>
    <w:rsidRoot w:val="00000000"/>
    <w:rsid w:val="2C0B543B"/>
    <w:rsid w:val="439C6233"/>
    <w:rsid w:val="7F9D0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4">
    <w:name w:val="Table Grid"/>
    <w:basedOn w:val="3"/>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6">
    <w:name w:val="Emphasis"/>
    <w:basedOn w:val="5"/>
    <w:qFormat/>
    <w:uiPriority w:val="0"/>
    <w:rPr>
      <w:i/>
    </w:rPr>
  </w:style>
  <w:style w:type="character" w:customStyle="1" w:styleId="7">
    <w:name w:val="标题 2 字符"/>
    <w:basedOn w:val="5"/>
    <w:link w:val="2"/>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2022-05-18T07:57:00Z</dcterms:created>
  <dc:creator>LZ</dc:creator>
  <cp:lastModifiedBy>LZ</cp:lastModifiedBy>
  <dcterms:modified xsi:type="dcterms:W3CDTF">2022-06-18T05:56:01Z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077CE20D49D146C799DC50B9EBCE40B9</vt:lpwstr>
  </property>
</Properties>
</file>